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ACHNE Awards Nomination Evaluation Rubric</w:t>
      </w:r>
    </w:p>
    <w:p w:rsidR="00000000" w:rsidDel="00000000" w:rsidP="00000000" w:rsidRDefault="00000000" w:rsidRPr="00000000" w14:paraId="00000002">
      <w:pPr>
        <w:shd w:fill="ffffff" w:val="clear"/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left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 order for the Nominee to be considered by the Award Committee, the following must be present: 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hd w:fill="ffffff" w:val="clear"/>
        <w:ind w:left="720" w:hanging="360"/>
        <w:jc w:val="left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 packet (form &amp; cv) is complete and well-organized.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ind w:left="720" w:hanging="360"/>
        <w:jc w:val="left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Nominee for member award is an ACHNE member at time of nomination.</w:t>
      </w:r>
    </w:p>
    <w:p w:rsidR="00000000" w:rsidDel="00000000" w:rsidP="00000000" w:rsidRDefault="00000000" w:rsidRPr="00000000" w14:paraId="00000006">
      <w:pPr>
        <w:shd w:fill="ffffff" w:val="clear"/>
        <w:jc w:val="left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left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Rating Scale (for each criterion):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4 = Exemplary</w:t>
      </w:r>
      <w:r w:rsidDel="00000000" w:rsidR="00000000" w:rsidRPr="00000000">
        <w:rPr>
          <w:color w:val="222222"/>
          <w:rtl w:val="0"/>
        </w:rPr>
        <w:t xml:space="preserve"> –  Exceeds expectations with exceptional evidence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3 = Satisfactory</w:t>
      </w:r>
      <w:r w:rsidDel="00000000" w:rsidR="00000000" w:rsidRPr="00000000">
        <w:rPr>
          <w:color w:val="222222"/>
          <w:rtl w:val="0"/>
        </w:rPr>
        <w:t xml:space="preserve"> – Meets expectations with supporting evidence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2 = Developing</w:t>
      </w:r>
      <w:r w:rsidDel="00000000" w:rsidR="00000000" w:rsidRPr="00000000">
        <w:rPr>
          <w:color w:val="222222"/>
          <w:rtl w:val="0"/>
        </w:rPr>
        <w:t xml:space="preserve"> – Partially meets expectations with limited evidence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1 = Insufficient</w:t>
      </w:r>
      <w:r w:rsidDel="00000000" w:rsidR="00000000" w:rsidRPr="00000000">
        <w:rPr>
          <w:color w:val="222222"/>
          <w:rtl w:val="0"/>
        </w:rPr>
        <w:t xml:space="preserve"> – Does not meet expectations with unclear or minimal evidence</w:t>
      </w:r>
    </w:p>
    <w:p w:rsidR="00000000" w:rsidDel="00000000" w:rsidP="00000000" w:rsidRDefault="00000000" w:rsidRPr="00000000" w14:paraId="0000000D">
      <w:pPr>
        <w:shd w:fill="ffffff" w:val="clear"/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1. Alignment with Award Criteria (4 points)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The nominee’s accomplishments clearly align with the purpose and eligibility requirements of the specific ACHNE award.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Demonstrates achievement in the intended focus area (e.g., education, leadership, service, research).</w:t>
      </w:r>
    </w:p>
    <w:p w:rsidR="00000000" w:rsidDel="00000000" w:rsidP="00000000" w:rsidRDefault="00000000" w:rsidRPr="00000000" w14:paraId="00000011">
      <w:pPr>
        <w:shd w:fill="ffffff" w:val="clear"/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2. Contribution to Community/Public Health Nursing (4 points)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Demonstrates contributions that advance community/public health nursing practice, education, or scholarship.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Shows influence on students, communities, organizations, or systems.</w:t>
      </w:r>
    </w:p>
    <w:p w:rsidR="00000000" w:rsidDel="00000000" w:rsidP="00000000" w:rsidRDefault="00000000" w:rsidRPr="00000000" w14:paraId="00000015">
      <w:pPr>
        <w:shd w:fill="ffffff" w:val="clear"/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3. Innovation and Leadership (4 points)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Demonstrates creativity, initiative, and leadership within community/public health nursing.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ind w:left="940" w:hanging="360"/>
      </w:pPr>
      <w:r w:rsidDel="00000000" w:rsidR="00000000" w:rsidRPr="00000000">
        <w:rPr>
          <w:color w:val="222222"/>
          <w:rtl w:val="0"/>
        </w:rPr>
        <w:t xml:space="preserve">Serves as a role model or leader who inspires others and advances ACHNE’s mission.</w:t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/>
      </w:pPr>
      <w:r w:rsidDel="00000000" w:rsidR="00000000" w:rsidRPr="00000000">
        <w:rPr>
          <w:b w:val="1"/>
          <w:bCs w:val="1"/>
          <w:color w:val="222222"/>
          <w:rtl w:val="0"/>
        </w:rPr>
        <w:t xml:space="preserve">Total Possible Score: 12 Points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